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B8F0" w14:textId="7553A4D6" w:rsidR="008E3081" w:rsidRPr="00D03FBB" w:rsidRDefault="00604B28" w:rsidP="008E3081">
      <w:pPr>
        <w:pStyle w:val="Title"/>
        <w:rPr>
          <w:lang w:val="it-IT"/>
        </w:rPr>
      </w:pPr>
      <w:r w:rsidRPr="00D03FBB">
        <w:rPr>
          <w:lang w:val="it-IT"/>
        </w:rPr>
        <w:t>Laringotracheobronchite virale lieve</w:t>
      </w:r>
    </w:p>
    <w:p w14:paraId="0A6161A2" w14:textId="77777777" w:rsidR="00544A95" w:rsidRPr="00D03FBB" w:rsidRDefault="00544A95" w:rsidP="00544A95">
      <w:pPr>
        <w:pStyle w:val="Heading1"/>
        <w:rPr>
          <w:lang w:val="it-IT"/>
        </w:rPr>
      </w:pPr>
      <w:r w:rsidRPr="00D03FBB">
        <w:rPr>
          <w:lang w:val="it-IT"/>
        </w:rPr>
        <w:t>Informazioni curricolari</w:t>
      </w:r>
    </w:p>
    <w:p w14:paraId="54EB2BDD" w14:textId="77777777" w:rsidR="00C36DEC" w:rsidRPr="00D03FBB" w:rsidRDefault="00C36DEC" w:rsidP="00C36DEC">
      <w:pPr>
        <w:rPr>
          <w:lang w:val="it-IT"/>
        </w:rPr>
      </w:pPr>
      <w:r w:rsidRPr="00D03FBB">
        <w:rPr>
          <w:b/>
          <w:lang w:val="it-IT"/>
        </w:rPr>
        <w:t>Destinatari</w:t>
      </w:r>
      <w:r w:rsidRPr="00D03FBB">
        <w:rPr>
          <w:lang w:val="it-IT"/>
        </w:rPr>
        <w:t xml:space="preserve">: professionisti sanitari che lavorano nel reparto d’emergenza </w:t>
      </w:r>
      <w:r w:rsidRPr="00D03FBB">
        <w:rPr>
          <w:b/>
          <w:lang w:val="it-IT"/>
        </w:rPr>
        <w:t>Numero di partecipanti</w:t>
      </w:r>
      <w:r w:rsidRPr="00D03FBB">
        <w:rPr>
          <w:lang w:val="it-IT"/>
        </w:rPr>
        <w:t xml:space="preserve">: 2-3 partecipanti compreso un ruolo da genitore </w:t>
      </w:r>
      <w:r w:rsidRPr="00D03FBB">
        <w:rPr>
          <w:b/>
          <w:lang w:val="it-IT"/>
        </w:rPr>
        <w:t>Tempo di simulazione</w:t>
      </w:r>
      <w:r w:rsidRPr="00D03FBB">
        <w:rPr>
          <w:lang w:val="it-IT"/>
        </w:rPr>
        <w:t xml:space="preserve">: 15 minuti </w:t>
      </w:r>
      <w:r w:rsidRPr="00D03FBB">
        <w:rPr>
          <w:b/>
          <w:lang w:val="it-IT"/>
        </w:rPr>
        <w:t>Tempo di debriefing</w:t>
      </w:r>
      <w:r w:rsidRPr="00D03FBB">
        <w:rPr>
          <w:lang w:val="it-IT"/>
        </w:rPr>
        <w:t>: 30 minuti</w:t>
      </w:r>
    </w:p>
    <w:p w14:paraId="5CFE96F9" w14:textId="77777777" w:rsidR="00011EA0" w:rsidRPr="00C7444D" w:rsidRDefault="00011EA0" w:rsidP="00011EA0">
      <w:pPr>
        <w:pStyle w:val="Heading2"/>
      </w:pPr>
      <w:r>
        <w:t>Obiettivi di apprendimento</w:t>
      </w:r>
    </w:p>
    <w:p w14:paraId="2DF2B88F" w14:textId="77777777" w:rsidR="00011EA0" w:rsidRPr="00D03FBB" w:rsidRDefault="00011EA0" w:rsidP="00011EA0">
      <w:pPr>
        <w:pStyle w:val="ListParagraph"/>
        <w:numPr>
          <w:ilvl w:val="0"/>
          <w:numId w:val="3"/>
        </w:numPr>
        <w:rPr>
          <w:lang w:val="it-IT"/>
        </w:rPr>
      </w:pPr>
      <w:r w:rsidRPr="00D03FBB">
        <w:rPr>
          <w:lang w:val="it-IT"/>
        </w:rPr>
        <w:t xml:space="preserve">Riconoscere i segni e i sintomi di una </w:t>
      </w:r>
      <w:proofErr w:type="spellStart"/>
      <w:r w:rsidRPr="00D03FBB">
        <w:rPr>
          <w:lang w:val="it-IT"/>
        </w:rPr>
        <w:t>laringotracheobronchite</w:t>
      </w:r>
      <w:proofErr w:type="spellEnd"/>
      <w:r w:rsidRPr="00D03FBB">
        <w:rPr>
          <w:lang w:val="it-IT"/>
        </w:rPr>
        <w:t xml:space="preserve"> virale</w:t>
      </w:r>
    </w:p>
    <w:p w14:paraId="539F0137" w14:textId="77777777" w:rsidR="00011EA0" w:rsidRPr="00D03FBB" w:rsidRDefault="00011EA0" w:rsidP="00011EA0">
      <w:pPr>
        <w:pStyle w:val="ListParagraph"/>
        <w:numPr>
          <w:ilvl w:val="0"/>
          <w:numId w:val="3"/>
        </w:numPr>
        <w:rPr>
          <w:lang w:val="it-IT"/>
        </w:rPr>
      </w:pPr>
      <w:r w:rsidRPr="00D03FBB">
        <w:rPr>
          <w:lang w:val="it-IT"/>
        </w:rPr>
        <w:t>Dimostrare il corretto trattamento delle convulsioni febbrili</w:t>
      </w:r>
    </w:p>
    <w:p w14:paraId="15FE8ED3" w14:textId="77777777" w:rsidR="00011EA0" w:rsidRPr="00D03FBB" w:rsidRDefault="00011EA0" w:rsidP="00011EA0">
      <w:pPr>
        <w:pStyle w:val="ListParagraph"/>
        <w:numPr>
          <w:ilvl w:val="0"/>
          <w:numId w:val="3"/>
        </w:numPr>
        <w:rPr>
          <w:lang w:val="it-IT"/>
        </w:rPr>
      </w:pPr>
      <w:r w:rsidRPr="00D03FBB">
        <w:rPr>
          <w:lang w:val="it-IT"/>
        </w:rPr>
        <w:t>Dimostrare il corretto trattamento di una lieve ostruzione delle vie aeree superiori</w:t>
      </w:r>
    </w:p>
    <w:p w14:paraId="61B9E115" w14:textId="7F5EB034" w:rsidR="00011EA0" w:rsidRPr="00D03FBB" w:rsidRDefault="00011EA0" w:rsidP="00011EA0">
      <w:pPr>
        <w:pStyle w:val="ListParagraph"/>
        <w:numPr>
          <w:ilvl w:val="0"/>
          <w:numId w:val="3"/>
        </w:numPr>
        <w:rPr>
          <w:lang w:val="it-IT"/>
        </w:rPr>
      </w:pPr>
      <w:r w:rsidRPr="00D03FBB">
        <w:rPr>
          <w:lang w:val="it-IT"/>
        </w:rPr>
        <w:t xml:space="preserve">Dimostrare </w:t>
      </w:r>
      <w:r w:rsidR="00D03FBB">
        <w:rPr>
          <w:lang w:val="it-IT"/>
        </w:rPr>
        <w:t>l</w:t>
      </w:r>
      <w:r w:rsidRPr="00D03FBB">
        <w:rPr>
          <w:lang w:val="it-IT"/>
        </w:rPr>
        <w:t>a corretta somministrazione di adrenalina e corticosteroidi</w:t>
      </w:r>
    </w:p>
    <w:p w14:paraId="32FCD7D1" w14:textId="77777777" w:rsidR="00C7444D" w:rsidRPr="00D03FBB" w:rsidRDefault="00653009" w:rsidP="00653009">
      <w:pPr>
        <w:pStyle w:val="Heading2"/>
        <w:rPr>
          <w:lang w:val="it-IT"/>
        </w:rPr>
      </w:pPr>
      <w:r w:rsidRPr="00D03FBB">
        <w:rPr>
          <w:lang w:val="it-IT"/>
        </w:rPr>
        <w:t>Profilo scenario</w:t>
      </w:r>
    </w:p>
    <w:p w14:paraId="28F04A10" w14:textId="3F527C0F" w:rsidR="00892FE8" w:rsidRPr="00D03FBB" w:rsidRDefault="00373524">
      <w:pPr>
        <w:rPr>
          <w:lang w:val="it-IT"/>
        </w:rPr>
      </w:pPr>
      <w:r w:rsidRPr="00D03FBB">
        <w:rPr>
          <w:lang w:val="it-IT"/>
        </w:rPr>
        <w:t xml:space="preserve">Questo scenario presenta un bambino di 12 mesi con </w:t>
      </w:r>
      <w:proofErr w:type="spellStart"/>
      <w:r w:rsidRPr="00D03FBB">
        <w:rPr>
          <w:lang w:val="it-IT"/>
        </w:rPr>
        <w:t>laringotracheobronchite</w:t>
      </w:r>
      <w:proofErr w:type="spellEnd"/>
      <w:r w:rsidRPr="00D03FBB">
        <w:rPr>
          <w:lang w:val="it-IT"/>
        </w:rPr>
        <w:t xml:space="preserve"> virale lieve e convulsioni febbrili in seguito a influenza. Il bambino è stato portato al pronto soccorso alle 02:15 da suo padre dopo una febbre con l’insorgenza di una crescente tosse</w:t>
      </w:r>
      <w:r w:rsidR="00F724BF">
        <w:rPr>
          <w:lang w:val="it-IT"/>
        </w:rPr>
        <w:t xml:space="preserve"> stizzosa</w:t>
      </w:r>
      <w:r w:rsidRPr="00D03FBB">
        <w:rPr>
          <w:lang w:val="it-IT"/>
        </w:rPr>
        <w:t xml:space="preserve">, raucedine e stridore durante la serata. Il bambino presenta difficoltà respiratorie con lievi retrazioni inspiratorie, con naso che cola e </w:t>
      </w:r>
      <w:r w:rsidR="007B7509">
        <w:rPr>
          <w:lang w:val="it-IT"/>
        </w:rPr>
        <w:t xml:space="preserve">ha </w:t>
      </w:r>
      <w:r w:rsidRPr="00D03FBB">
        <w:rPr>
          <w:lang w:val="it-IT"/>
        </w:rPr>
        <w:t xml:space="preserve">una temperatura di 38,6 </w:t>
      </w:r>
      <w:proofErr w:type="spellStart"/>
      <w:r w:rsidR="00B34DDD" w:rsidRPr="00D03FBB">
        <w:rPr>
          <w:vertAlign w:val="superscript"/>
          <w:lang w:val="it-IT"/>
        </w:rPr>
        <w:t>o</w:t>
      </w:r>
      <w:r w:rsidRPr="00D03FBB">
        <w:rPr>
          <w:lang w:val="it-IT"/>
        </w:rPr>
        <w:t>C</w:t>
      </w:r>
      <w:proofErr w:type="spellEnd"/>
      <w:r w:rsidRPr="00D03FBB">
        <w:rPr>
          <w:lang w:val="it-IT"/>
        </w:rPr>
        <w:t>. L’</w:t>
      </w:r>
      <w:r w:rsidR="007B7509">
        <w:rPr>
          <w:lang w:val="it-IT"/>
        </w:rPr>
        <w:t>Sp</w:t>
      </w:r>
      <w:r w:rsidR="00D064C0">
        <w:rPr>
          <w:lang w:val="it-IT"/>
        </w:rPr>
        <w:t>O</w:t>
      </w:r>
      <w:r w:rsidR="007B7509">
        <w:rPr>
          <w:lang w:val="it-IT"/>
        </w:rPr>
        <w:t>2</w:t>
      </w:r>
      <w:r w:rsidRPr="00D03FBB">
        <w:rPr>
          <w:lang w:val="it-IT"/>
        </w:rPr>
        <w:t xml:space="preserve"> è al 96%, la frequenza cardiaca è 149/</w:t>
      </w:r>
      <w:proofErr w:type="spellStart"/>
      <w:r w:rsidRPr="00D03FBB">
        <w:rPr>
          <w:lang w:val="it-IT"/>
        </w:rPr>
        <w:t>min</w:t>
      </w:r>
      <w:proofErr w:type="spellEnd"/>
      <w:r w:rsidRPr="00D03FBB">
        <w:rPr>
          <w:lang w:val="it-IT"/>
        </w:rPr>
        <w:t xml:space="preserve"> e la frequenza respiratoria è 48/min. La pressione sanguigna è 83/48 mmHg.</w:t>
      </w:r>
    </w:p>
    <w:p w14:paraId="25561930" w14:textId="1E634955" w:rsidR="00DA7BCC" w:rsidRPr="00D03FBB" w:rsidRDefault="00125D67">
      <w:pPr>
        <w:rPr>
          <w:lang w:val="it-IT"/>
        </w:rPr>
      </w:pPr>
      <w:r w:rsidRPr="00D03FBB">
        <w:rPr>
          <w:lang w:val="it-IT"/>
        </w:rPr>
        <w:t>Passati 3 minuti nello scenario, il bambino avrà convulsioni febbrili</w:t>
      </w:r>
      <w:r w:rsidR="00AC7954">
        <w:rPr>
          <w:lang w:val="it-IT"/>
        </w:rPr>
        <w:t>,</w:t>
      </w:r>
      <w:r w:rsidRPr="00D03FBB">
        <w:rPr>
          <w:lang w:val="it-IT"/>
        </w:rPr>
        <w:t xml:space="preserve"> che dureranno per 2 minuti.</w:t>
      </w:r>
    </w:p>
    <w:p w14:paraId="731103F3" w14:textId="7B27AECB" w:rsidR="00607B26" w:rsidRPr="00D03FBB" w:rsidRDefault="00AC7954">
      <w:pPr>
        <w:rPr>
          <w:lang w:val="it-IT"/>
        </w:rPr>
      </w:pPr>
      <w:r>
        <w:rPr>
          <w:lang w:val="it-IT"/>
        </w:rPr>
        <w:t xml:space="preserve">I </w:t>
      </w:r>
      <w:r w:rsidR="0028728B" w:rsidRPr="00D03FBB">
        <w:rPr>
          <w:lang w:val="it-IT"/>
        </w:rPr>
        <w:t>partecipanti adott</w:t>
      </w:r>
      <w:r>
        <w:rPr>
          <w:lang w:val="it-IT"/>
        </w:rPr>
        <w:t>eranno</w:t>
      </w:r>
      <w:r w:rsidR="0028728B" w:rsidRPr="00D03FBB">
        <w:rPr>
          <w:lang w:val="it-IT"/>
        </w:rPr>
        <w:t xml:space="preserve"> un approccio pediatrico sistematico nella valutazione dell’ostruzione delle vie aeree superiori,  riconosc</w:t>
      </w:r>
      <w:r>
        <w:rPr>
          <w:lang w:val="it-IT"/>
        </w:rPr>
        <w:t>eranno</w:t>
      </w:r>
      <w:r w:rsidR="0028728B" w:rsidRPr="00D03FBB">
        <w:rPr>
          <w:lang w:val="it-IT"/>
        </w:rPr>
        <w:t xml:space="preserve"> una convulsione febbrile e comuni</w:t>
      </w:r>
      <w:r>
        <w:rPr>
          <w:lang w:val="it-IT"/>
        </w:rPr>
        <w:t xml:space="preserve">cheranno </w:t>
      </w:r>
      <w:r w:rsidR="0028728B" w:rsidRPr="00D03FBB">
        <w:rPr>
          <w:lang w:val="it-IT"/>
        </w:rPr>
        <w:t xml:space="preserve"> in maniera terapeutica con il genitore. Dovr</w:t>
      </w:r>
      <w:r>
        <w:rPr>
          <w:lang w:val="it-IT"/>
        </w:rPr>
        <w:t>anno</w:t>
      </w:r>
      <w:r w:rsidR="0028728B" w:rsidRPr="00D03FBB">
        <w:rPr>
          <w:lang w:val="it-IT"/>
        </w:rPr>
        <w:t xml:space="preserve"> riconoscere i segni e sintomi di una </w:t>
      </w:r>
      <w:proofErr w:type="spellStart"/>
      <w:r w:rsidR="0028728B" w:rsidRPr="00D03FBB">
        <w:rPr>
          <w:lang w:val="it-IT"/>
        </w:rPr>
        <w:t>laringotracheobronchite</w:t>
      </w:r>
      <w:proofErr w:type="spellEnd"/>
      <w:r w:rsidR="0028728B" w:rsidRPr="00D03FBB">
        <w:rPr>
          <w:lang w:val="it-IT"/>
        </w:rPr>
        <w:t xml:space="preserve"> lieve con una diminuzione leggera della saturazione dell’ossigeno e trattare la condizione con ossigenoterapia, adrenalina e corticosteroidi. Dopo aver applicato il corretto trattamento, i segni vitali miglioreranno nei seguenti 5 minuti.</w:t>
      </w:r>
    </w:p>
    <w:p w14:paraId="6F55050A" w14:textId="4D4F9478" w:rsidR="00556679" w:rsidRPr="00D03FBB" w:rsidRDefault="009371D3">
      <w:pPr>
        <w:rPr>
          <w:lang w:val="it-IT"/>
        </w:rPr>
      </w:pPr>
      <w:r w:rsidRPr="00D03FBB">
        <w:rPr>
          <w:lang w:val="it-IT"/>
        </w:rPr>
        <w:t>I partecipanti dovrebbero tenere il bambino in osservazione e comunicare la patologia e la cura al genitore.</w:t>
      </w:r>
    </w:p>
    <w:p w14:paraId="771BF4F2" w14:textId="77777777" w:rsidR="00826E6D" w:rsidRPr="00D03FBB" w:rsidRDefault="00826E6D" w:rsidP="00826E6D">
      <w:pPr>
        <w:pStyle w:val="Heading2"/>
        <w:rPr>
          <w:lang w:val="it-IT"/>
        </w:rPr>
      </w:pPr>
      <w:r w:rsidRPr="00D03FBB">
        <w:rPr>
          <w:lang w:val="it-IT"/>
        </w:rPr>
        <w:t>Debriefing</w:t>
      </w:r>
    </w:p>
    <w:p w14:paraId="0690E86B" w14:textId="28D780A6" w:rsidR="00826E6D" w:rsidRDefault="00826E6D" w:rsidP="00826E6D">
      <w:pPr>
        <w:rPr>
          <w:lang w:val="en-US"/>
        </w:rPr>
      </w:pPr>
      <w:r w:rsidRPr="00D03FBB">
        <w:rPr>
          <w:lang w:val="it-IT"/>
        </w:rPr>
        <w:t>Una volta terminata la simulazione</w:t>
      </w:r>
      <w:r w:rsidR="003B1030">
        <w:rPr>
          <w:lang w:val="it-IT"/>
        </w:rPr>
        <w:t xml:space="preserve">, </w:t>
      </w:r>
      <w:r w:rsidR="009A12AF">
        <w:rPr>
          <w:lang w:val="it-IT"/>
        </w:rPr>
        <w:t xml:space="preserve"> si raccomanda ad</w:t>
      </w:r>
      <w:r w:rsidRPr="00D03FBB">
        <w:rPr>
          <w:lang w:val="it-IT"/>
        </w:rPr>
        <w:t xml:space="preserve"> un</w:t>
      </w:r>
      <w:r w:rsidR="009A12AF">
        <w:rPr>
          <w:lang w:val="it-IT"/>
        </w:rPr>
        <w:t>o dei</w:t>
      </w:r>
      <w:r w:rsidRPr="00D03FBB">
        <w:rPr>
          <w:lang w:val="it-IT"/>
        </w:rPr>
        <w:t xml:space="preserve"> facilitator</w:t>
      </w:r>
      <w:r w:rsidR="005F6D93">
        <w:rPr>
          <w:lang w:val="it-IT"/>
        </w:rPr>
        <w:t>i</w:t>
      </w:r>
      <w:r w:rsidRPr="00D03FBB">
        <w:rPr>
          <w:lang w:val="it-IT"/>
        </w:rPr>
        <w:t xml:space="preserve"> </w:t>
      </w:r>
      <w:r w:rsidR="009A12AF">
        <w:rPr>
          <w:lang w:val="it-IT"/>
        </w:rPr>
        <w:t xml:space="preserve">di </w:t>
      </w:r>
      <w:r w:rsidRPr="00D03FBB">
        <w:rPr>
          <w:lang w:val="it-IT"/>
        </w:rPr>
        <w:t>condu</w:t>
      </w:r>
      <w:r w:rsidR="009A12AF">
        <w:rPr>
          <w:lang w:val="it-IT"/>
        </w:rPr>
        <w:t>rre</w:t>
      </w:r>
      <w:r w:rsidRPr="00D03FBB">
        <w:rPr>
          <w:lang w:val="it-IT"/>
        </w:rPr>
        <w:t xml:space="preserve"> un debriefing per discutere gli obiettivi di apprendimento. Nel Registro degli eventi in Session Viewer sono suggerite possibili domande da rivolgere durante il debriefing. </w:t>
      </w:r>
      <w:r>
        <w:rPr>
          <w:lang w:val="en-US"/>
        </w:rPr>
        <w:t xml:space="preserve">I </w:t>
      </w:r>
      <w:proofErr w:type="spellStart"/>
      <w:r>
        <w:rPr>
          <w:lang w:val="en-US"/>
        </w:rPr>
        <w:t>principali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argomenti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discussione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essere</w:t>
      </w:r>
      <w:proofErr w:type="spellEnd"/>
      <w:r>
        <w:rPr>
          <w:lang w:val="en-US"/>
        </w:rPr>
        <w:t>:</w:t>
      </w:r>
    </w:p>
    <w:p w14:paraId="00311822" w14:textId="2ADB11BE" w:rsidR="00D41455" w:rsidRPr="009E3E9E" w:rsidRDefault="003B1030" w:rsidP="009E3E9E">
      <w:pPr>
        <w:pStyle w:val="ListParagraph"/>
        <w:numPr>
          <w:ilvl w:val="0"/>
          <w:numId w:val="9"/>
        </w:numPr>
        <w:rPr>
          <w:lang w:val="it-IT"/>
        </w:rPr>
      </w:pPr>
      <w:r w:rsidRPr="009E3E9E">
        <w:rPr>
          <w:lang w:val="it-IT"/>
        </w:rPr>
        <w:t>d</w:t>
      </w:r>
      <w:r w:rsidR="00D41455" w:rsidRPr="009E3E9E">
        <w:rPr>
          <w:lang w:val="it-IT"/>
        </w:rPr>
        <w:t xml:space="preserve">iverse fasi della </w:t>
      </w:r>
      <w:proofErr w:type="spellStart"/>
      <w:r w:rsidR="00D41455" w:rsidRPr="009E3E9E">
        <w:rPr>
          <w:lang w:val="it-IT"/>
        </w:rPr>
        <w:t>laringotracheobronchite</w:t>
      </w:r>
      <w:proofErr w:type="spellEnd"/>
      <w:r w:rsidR="00D41455" w:rsidRPr="009E3E9E">
        <w:rPr>
          <w:lang w:val="it-IT"/>
        </w:rPr>
        <w:t xml:space="preserve"> virale</w:t>
      </w:r>
    </w:p>
    <w:p w14:paraId="767779DC" w14:textId="31446E55" w:rsidR="00D41455" w:rsidRPr="009E3E9E" w:rsidRDefault="003B1030" w:rsidP="009E3E9E">
      <w:pPr>
        <w:pStyle w:val="ListParagraph"/>
        <w:numPr>
          <w:ilvl w:val="0"/>
          <w:numId w:val="9"/>
        </w:numPr>
        <w:rPr>
          <w:lang w:val="it-IT"/>
        </w:rPr>
      </w:pPr>
      <w:r w:rsidRPr="009E3E9E">
        <w:rPr>
          <w:lang w:val="it-IT"/>
        </w:rPr>
        <w:t>c</w:t>
      </w:r>
      <w:r w:rsidR="00D41455" w:rsidRPr="009E3E9E">
        <w:rPr>
          <w:lang w:val="it-IT"/>
        </w:rPr>
        <w:t>onvulsioni febbrili nell'assistenza pediatrica</w:t>
      </w:r>
    </w:p>
    <w:p w14:paraId="608ADEE3" w14:textId="29498839" w:rsidR="00D41455" w:rsidRPr="009E3E9E" w:rsidRDefault="003B1030" w:rsidP="009E3E9E">
      <w:pPr>
        <w:pStyle w:val="ListParagraph"/>
        <w:numPr>
          <w:ilvl w:val="0"/>
          <w:numId w:val="9"/>
        </w:numPr>
        <w:rPr>
          <w:lang w:val="it-IT"/>
        </w:rPr>
      </w:pPr>
      <w:r w:rsidRPr="009E3E9E">
        <w:rPr>
          <w:lang w:val="it-IT"/>
        </w:rPr>
        <w:t>t</w:t>
      </w:r>
      <w:r w:rsidR="00D41455" w:rsidRPr="009E3E9E">
        <w:rPr>
          <w:lang w:val="it-IT"/>
        </w:rPr>
        <w:t xml:space="preserve">rattamento di </w:t>
      </w:r>
      <w:proofErr w:type="spellStart"/>
      <w:r w:rsidR="00D41455" w:rsidRPr="009E3E9E">
        <w:rPr>
          <w:lang w:val="it-IT"/>
        </w:rPr>
        <w:t>laringotracheobronchite</w:t>
      </w:r>
      <w:proofErr w:type="spellEnd"/>
      <w:r w:rsidR="00D41455" w:rsidRPr="009E3E9E">
        <w:rPr>
          <w:lang w:val="it-IT"/>
        </w:rPr>
        <w:t xml:space="preserve"> virale per gravità</w:t>
      </w:r>
    </w:p>
    <w:p w14:paraId="4A959D54" w14:textId="77777777" w:rsidR="00D41455" w:rsidRPr="00167E46" w:rsidRDefault="00D41455" w:rsidP="00D41455">
      <w:pPr>
        <w:pStyle w:val="Heading2"/>
        <w:rPr>
          <w:lang w:val="en-US"/>
        </w:rPr>
      </w:pPr>
      <w:r>
        <w:rPr>
          <w:lang w:val="en-US"/>
        </w:rPr>
        <w:t>Riferimenti</w:t>
      </w:r>
    </w:p>
    <w:p w14:paraId="68C18AD0" w14:textId="24E791DE" w:rsidR="00D41455" w:rsidRPr="00706BF1" w:rsidRDefault="00D41455" w:rsidP="00D41455">
      <w:pPr>
        <w:rPr>
          <w:lang w:val="en-US"/>
        </w:rPr>
      </w:pPr>
      <w:r w:rsidRPr="00706BF1">
        <w:rPr>
          <w:sz w:val="21"/>
          <w:szCs w:val="21"/>
          <w:lang w:val="en-US"/>
        </w:rPr>
        <w:t>Ian K. Maconochie</w:t>
      </w:r>
      <w:r w:rsidRPr="00706BF1">
        <w:rPr>
          <w:rFonts w:eastAsia="MBCMO F+ MTSY"/>
          <w:sz w:val="21"/>
          <w:szCs w:val="21"/>
          <w:lang w:val="en-US"/>
        </w:rPr>
        <w:t xml:space="preserve">, Allan R. de Caen, Richard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Aickin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Dianne L.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Atkins,Dominique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Biarent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Anne-Marie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Guerguerian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Monica E. Kleinman, David A.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Kloeck,Peter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A. Meaney, Vinay M. Nadkarni, Kee-Chong Ng, Gabrielle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Nuthall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Ameila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G.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Reis,Naoki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Shimizu, James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Tibballs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,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Remigio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</w:t>
      </w:r>
      <w:proofErr w:type="spellStart"/>
      <w:r w:rsidRPr="00706BF1">
        <w:rPr>
          <w:rFonts w:eastAsia="MBCMO F+ MTSY"/>
          <w:sz w:val="21"/>
          <w:szCs w:val="21"/>
          <w:lang w:val="en-US"/>
        </w:rPr>
        <w:t>Veliz</w:t>
      </w:r>
      <w:proofErr w:type="spellEnd"/>
      <w:r w:rsidRPr="00706BF1">
        <w:rPr>
          <w:rFonts w:eastAsia="MBCMO F+ MTSY"/>
          <w:sz w:val="21"/>
          <w:szCs w:val="21"/>
          <w:lang w:val="en-US"/>
        </w:rPr>
        <w:t xml:space="preserve"> Pintos, on behalf of the Pediatric Basic Life Support and Pediatric Advanced Life Support Chapter Collaborators:</w:t>
      </w:r>
      <w:r w:rsidRPr="00706BF1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2015 International Consensus on Cardiopulmonary Resuscitation and Emergency Cardiovascular Care Science with Treatment </w:t>
      </w:r>
      <w:r>
        <w:rPr>
          <w:lang w:val="en-US"/>
        </w:rPr>
        <w:lastRenderedPageBreak/>
        <w:t xml:space="preserve">Recommendations </w:t>
      </w:r>
      <w:r>
        <w:rPr>
          <w:lang w:val="en"/>
        </w:rPr>
        <w:t>Part 6: Pediatric basic life support and pediatric advanced life support</w:t>
      </w:r>
      <w:r>
        <w:rPr>
          <w:lang w:val="en-US"/>
        </w:rPr>
        <w:t xml:space="preserve">, in </w:t>
      </w:r>
      <w:r w:rsidRPr="00706BF1">
        <w:rPr>
          <w:i/>
          <w:lang w:val="en-US"/>
        </w:rPr>
        <w:t>Resuscitation</w:t>
      </w:r>
      <w:r>
        <w:rPr>
          <w:lang w:val="en-US"/>
        </w:rPr>
        <w:t>, 95 (2015) e147–e168, at</w:t>
      </w:r>
      <w:r w:rsidRPr="00706BF1">
        <w:rPr>
          <w:szCs w:val="22"/>
          <w:lang w:val="en-US"/>
        </w:rPr>
        <w:t xml:space="preserve"> </w:t>
      </w:r>
      <w:hyperlink r:id="rId5" w:history="1">
        <w:r w:rsidRPr="00843360">
          <w:rPr>
            <w:rStyle w:val="Hyperlink"/>
            <w:szCs w:val="22"/>
            <w:lang w:val="en-US"/>
          </w:rPr>
          <w:t>http://dx.doi.org/10.1016/j.resuscitation.2015.07.044</w:t>
        </w:r>
      </w:hyperlink>
      <w:r>
        <w:rPr>
          <w:color w:val="0080AC"/>
          <w:szCs w:val="22"/>
          <w:lang w:val="en-US"/>
        </w:rPr>
        <w:t xml:space="preserve"> </w:t>
      </w:r>
    </w:p>
    <w:p w14:paraId="63F72B98" w14:textId="77777777" w:rsidR="00826E6D" w:rsidRPr="00544A95" w:rsidRDefault="00826E6D">
      <w:pPr>
        <w:rPr>
          <w:lang w:val="en-US"/>
        </w:rPr>
      </w:pPr>
    </w:p>
    <w:p w14:paraId="1C5064DA" w14:textId="77777777" w:rsidR="00903E7A" w:rsidRPr="00D03FBB" w:rsidRDefault="00903E7A" w:rsidP="00011EA0">
      <w:pPr>
        <w:pStyle w:val="Heading1"/>
        <w:rPr>
          <w:lang w:val="it-IT"/>
        </w:rPr>
      </w:pPr>
      <w:r w:rsidRPr="00D03FBB">
        <w:rPr>
          <w:lang w:val="it-IT"/>
        </w:rPr>
        <w:t>Configurazione e preparazione</w:t>
      </w:r>
    </w:p>
    <w:p w14:paraId="5339B19F" w14:textId="77777777" w:rsidR="00903E7A" w:rsidRPr="00D03FBB" w:rsidRDefault="00903E7A" w:rsidP="00B34DDD">
      <w:pPr>
        <w:pStyle w:val="Heading2"/>
        <w:rPr>
          <w:lang w:val="it-IT"/>
        </w:rPr>
      </w:pPr>
      <w:r w:rsidRPr="00D03FBB">
        <w:rPr>
          <w:lang w:val="it-IT"/>
        </w:rPr>
        <w:t>Apparecchiature</w:t>
      </w:r>
    </w:p>
    <w:p w14:paraId="676003F7" w14:textId="77777777" w:rsidR="00544A95" w:rsidRPr="00D03FBB" w:rsidRDefault="00544A95" w:rsidP="00B34DDD">
      <w:pPr>
        <w:pStyle w:val="Heading2"/>
        <w:rPr>
          <w:lang w:val="it-IT"/>
        </w:rPr>
        <w:sectPr w:rsidR="00544A95" w:rsidRPr="00D03FB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9850773" w14:textId="77777777" w:rsidR="009229CA" w:rsidRPr="00D03FBB" w:rsidRDefault="009229CA" w:rsidP="009229CA">
      <w:pPr>
        <w:rPr>
          <w:lang w:val="it-IT"/>
        </w:rPr>
      </w:pPr>
      <w:r w:rsidRPr="00D03FBB">
        <w:rPr>
          <w:lang w:val="it-IT"/>
        </w:rPr>
        <w:t>Forniture mediche</w:t>
      </w:r>
    </w:p>
    <w:p w14:paraId="2F7BB61F" w14:textId="77777777" w:rsidR="006356A1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Attrezzature</w:t>
      </w:r>
      <w:proofErr w:type="spellEnd"/>
      <w:r>
        <w:rPr>
          <w:lang w:val="en-US"/>
        </w:rPr>
        <w:t xml:space="preserve"> per vie </w:t>
      </w:r>
      <w:proofErr w:type="spellStart"/>
      <w:r>
        <w:rPr>
          <w:lang w:val="en-US"/>
        </w:rPr>
        <w:t>aeree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avanzate</w:t>
      </w:r>
      <w:proofErr w:type="spellEnd"/>
      <w:r>
        <w:rPr>
          <w:lang w:val="en-US"/>
        </w:rPr>
        <w:t xml:space="preserve"> </w:t>
      </w:r>
    </w:p>
    <w:p w14:paraId="380699F4" w14:textId="74B1D79F" w:rsidR="009229CA" w:rsidRPr="00D03FBB" w:rsidRDefault="009229CA" w:rsidP="006356A1">
      <w:pPr>
        <w:pStyle w:val="ListParagraph"/>
        <w:numPr>
          <w:ilvl w:val="0"/>
          <w:numId w:val="2"/>
        </w:numPr>
        <w:rPr>
          <w:lang w:val="it-IT"/>
        </w:rPr>
      </w:pPr>
      <w:r w:rsidRPr="00D03FBB">
        <w:rPr>
          <w:lang w:val="it-IT"/>
        </w:rPr>
        <w:t>Dispositivi per vie aeree (orofaringe</w:t>
      </w:r>
      <w:r w:rsidR="00BE2C06">
        <w:rPr>
          <w:lang w:val="it-IT"/>
        </w:rPr>
        <w:t>i</w:t>
      </w:r>
      <w:r w:rsidRPr="00D03FBB">
        <w:rPr>
          <w:lang w:val="it-IT"/>
        </w:rPr>
        <w:t xml:space="preserve"> e nasofaringe</w:t>
      </w:r>
      <w:r w:rsidR="00BE2C06">
        <w:rPr>
          <w:lang w:val="it-IT"/>
        </w:rPr>
        <w:t>i</w:t>
      </w:r>
      <w:r w:rsidRPr="00D03FBB">
        <w:rPr>
          <w:lang w:val="it-IT"/>
        </w:rPr>
        <w:t>)</w:t>
      </w:r>
    </w:p>
    <w:p w14:paraId="704D058C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Dispositivo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ventilatore</w:t>
      </w:r>
      <w:proofErr w:type="spellEnd"/>
    </w:p>
    <w:p w14:paraId="55DAB8E1" w14:textId="77777777" w:rsidR="009229CA" w:rsidRPr="00D03FBB" w:rsidRDefault="006356A1" w:rsidP="006356A1">
      <w:pPr>
        <w:pStyle w:val="ListParagraph"/>
        <w:numPr>
          <w:ilvl w:val="0"/>
          <w:numId w:val="2"/>
        </w:numPr>
        <w:rPr>
          <w:lang w:val="it-IT"/>
        </w:rPr>
      </w:pPr>
      <w:r w:rsidRPr="00D03FBB">
        <w:rPr>
          <w:lang w:val="it-IT"/>
        </w:rPr>
        <w:t>Bracciale per la misurazione della pressione sanguigna</w:t>
      </w:r>
    </w:p>
    <w:p w14:paraId="42F374AB" w14:textId="77777777" w:rsidR="009229CA" w:rsidRPr="00D03FBB" w:rsidRDefault="009229CA" w:rsidP="006356A1">
      <w:pPr>
        <w:pStyle w:val="ListParagraph"/>
        <w:numPr>
          <w:ilvl w:val="0"/>
          <w:numId w:val="2"/>
        </w:numPr>
        <w:rPr>
          <w:lang w:val="it-IT"/>
        </w:rPr>
      </w:pPr>
      <w:r w:rsidRPr="00D03FBB">
        <w:rPr>
          <w:lang w:val="it-IT"/>
        </w:rPr>
        <w:t>Nastro per rianimazione basato sulla lunghezza a codice colori</w:t>
      </w:r>
    </w:p>
    <w:p w14:paraId="10CF914D" w14:textId="77777777" w:rsidR="006356A1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Capnografia</w:t>
      </w:r>
      <w:proofErr w:type="spellEnd"/>
      <w:r>
        <w:rPr>
          <w:lang w:val="en-US"/>
        </w:rPr>
        <w:t xml:space="preserve"> a forma </w:t>
      </w:r>
      <w:proofErr w:type="spellStart"/>
      <w:r>
        <w:rPr>
          <w:lang w:val="en-US"/>
        </w:rPr>
        <w:t>d'onda</w:t>
      </w:r>
      <w:proofErr w:type="spellEnd"/>
      <w:r>
        <w:rPr>
          <w:lang w:val="en-US"/>
        </w:rPr>
        <w:t xml:space="preserve"> continua </w:t>
      </w:r>
    </w:p>
    <w:p w14:paraId="0605EDE6" w14:textId="77777777" w:rsidR="009229CA" w:rsidRPr="00BA3AB0" w:rsidRDefault="00826E6D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Elettrodi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defibrillazione</w:t>
      </w:r>
      <w:proofErr w:type="spellEnd"/>
    </w:p>
    <w:p w14:paraId="2C844980" w14:textId="77777777" w:rsidR="009229CA" w:rsidRPr="00D03FBB" w:rsidRDefault="009229CA" w:rsidP="006356A1">
      <w:pPr>
        <w:pStyle w:val="ListParagraph"/>
        <w:numPr>
          <w:ilvl w:val="0"/>
          <w:numId w:val="2"/>
        </w:numPr>
        <w:rPr>
          <w:lang w:val="it-IT"/>
        </w:rPr>
      </w:pPr>
      <w:r w:rsidRPr="00D03FBB">
        <w:rPr>
          <w:lang w:val="it-IT"/>
        </w:rPr>
        <w:t>Defibrillatore/Defibrillatore automatico esterno (DAE)</w:t>
      </w:r>
    </w:p>
    <w:p w14:paraId="6A048F23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Cavi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elettrodi</w:t>
      </w:r>
      <w:proofErr w:type="spellEnd"/>
      <w:r>
        <w:rPr>
          <w:lang w:val="en-US"/>
        </w:rPr>
        <w:t xml:space="preserve"> ECG</w:t>
      </w:r>
    </w:p>
    <w:p w14:paraId="4BF4112C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Forniture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somministrazione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farmacologica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generali</w:t>
      </w:r>
      <w:proofErr w:type="spellEnd"/>
    </w:p>
    <w:p w14:paraId="6D43AE8E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Glucometro</w:t>
      </w:r>
      <w:proofErr w:type="spellEnd"/>
    </w:p>
    <w:p w14:paraId="588C7B2A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Pompa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tubo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infusione</w:t>
      </w:r>
      <w:proofErr w:type="spellEnd"/>
    </w:p>
    <w:p w14:paraId="205DE495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Strumenti</w:t>
      </w:r>
      <w:proofErr w:type="spellEnd"/>
      <w:r>
        <w:rPr>
          <w:lang w:val="en-US"/>
        </w:rPr>
        <w:t xml:space="preserve"> per EV/IO</w:t>
      </w:r>
    </w:p>
    <w:p w14:paraId="4D16F84D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Dispositivi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somministrazione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d'ossigeno</w:t>
      </w:r>
      <w:proofErr w:type="spellEnd"/>
    </w:p>
    <w:p w14:paraId="05408974" w14:textId="3793FC00" w:rsidR="009229CA" w:rsidRPr="00BA3AB0" w:rsidRDefault="00D255C0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Sorgente</w:t>
      </w:r>
      <w:proofErr w:type="spellEnd"/>
      <w:r w:rsidR="009229CA">
        <w:rPr>
          <w:lang w:val="en-US"/>
        </w:rPr>
        <w:t xml:space="preserve"> per </w:t>
      </w:r>
      <w:proofErr w:type="spellStart"/>
      <w:r w:rsidR="009229CA">
        <w:rPr>
          <w:lang w:val="en-US"/>
        </w:rPr>
        <w:t>fornitura</w:t>
      </w:r>
      <w:proofErr w:type="spellEnd"/>
      <w:r w:rsidR="009229CA">
        <w:rPr>
          <w:lang w:val="en-US"/>
        </w:rPr>
        <w:t xml:space="preserve"> </w:t>
      </w:r>
      <w:proofErr w:type="spellStart"/>
      <w:r w:rsidR="009229CA">
        <w:rPr>
          <w:lang w:val="en-US"/>
        </w:rPr>
        <w:t>d'ossigeno</w:t>
      </w:r>
      <w:proofErr w:type="spellEnd"/>
    </w:p>
    <w:p w14:paraId="17E5D4B3" w14:textId="77777777" w:rsidR="009229CA" w:rsidRPr="00BA3AB0" w:rsidRDefault="006356A1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Sonda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pulsossimetro</w:t>
      </w:r>
      <w:proofErr w:type="spellEnd"/>
    </w:p>
    <w:p w14:paraId="671D9B49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Nebulizzatore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respiratorio</w:t>
      </w:r>
      <w:proofErr w:type="spellEnd"/>
    </w:p>
    <w:p w14:paraId="75DB2B90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Stetoscopio</w:t>
      </w:r>
      <w:proofErr w:type="spellEnd"/>
    </w:p>
    <w:p w14:paraId="742330AA" w14:textId="77777777" w:rsidR="009229CA" w:rsidRPr="00D03FBB" w:rsidRDefault="009229CA" w:rsidP="006356A1">
      <w:pPr>
        <w:pStyle w:val="ListParagraph"/>
        <w:numPr>
          <w:ilvl w:val="0"/>
          <w:numId w:val="2"/>
        </w:numPr>
        <w:rPr>
          <w:lang w:val="it-IT"/>
        </w:rPr>
      </w:pPr>
      <w:r w:rsidRPr="00D03FBB">
        <w:rPr>
          <w:lang w:val="it-IT"/>
        </w:rPr>
        <w:t>Dispositivo di aspirazione, tubi, catetere (punta di tonsilla) e contenitore</w:t>
      </w:r>
    </w:p>
    <w:p w14:paraId="050EE59E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Termometro</w:t>
      </w:r>
      <w:proofErr w:type="spellEnd"/>
    </w:p>
    <w:p w14:paraId="278B9B9E" w14:textId="77777777" w:rsidR="009229CA" w:rsidRPr="00BA3AB0" w:rsidRDefault="009229CA" w:rsidP="006356A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Attrezzatura</w:t>
      </w:r>
      <w:proofErr w:type="spellEnd"/>
      <w:r>
        <w:rPr>
          <w:lang w:val="en-US"/>
        </w:rPr>
        <w:t xml:space="preserve"> per </w:t>
      </w:r>
      <w:proofErr w:type="spellStart"/>
      <w:r>
        <w:rPr>
          <w:lang w:val="en-US"/>
        </w:rPr>
        <w:t>precauzioni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universali</w:t>
      </w:r>
      <w:proofErr w:type="spellEnd"/>
    </w:p>
    <w:p w14:paraId="22FE3B8A" w14:textId="77777777" w:rsidR="006356A1" w:rsidRPr="00BA3AB0" w:rsidRDefault="006356A1" w:rsidP="009229CA">
      <w:pPr>
        <w:rPr>
          <w:lang w:val="en-US"/>
        </w:rPr>
      </w:pPr>
    </w:p>
    <w:p w14:paraId="0E3ECF57" w14:textId="04FBC847" w:rsidR="007A7735" w:rsidRPr="00BA3AB0" w:rsidRDefault="007A7735" w:rsidP="007A7735">
      <w:pPr>
        <w:rPr>
          <w:lang w:val="en-US"/>
        </w:rPr>
      </w:pPr>
      <w:proofErr w:type="spellStart"/>
      <w:r>
        <w:rPr>
          <w:lang w:val="en-US"/>
        </w:rPr>
        <w:t>Fluidi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farmaci</w:t>
      </w:r>
      <w:proofErr w:type="spellEnd"/>
    </w:p>
    <w:p w14:paraId="1AA4E48B" w14:textId="247A3532" w:rsidR="007A7735" w:rsidRPr="00BA3AB0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Albuterolo</w:t>
      </w:r>
      <w:proofErr w:type="spellEnd"/>
    </w:p>
    <w:p w14:paraId="42E07B38" w14:textId="7F578897" w:rsidR="007A7735" w:rsidRPr="00BA3AB0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Antibiotici</w:t>
      </w:r>
      <w:proofErr w:type="spellEnd"/>
    </w:p>
    <w:p w14:paraId="38E3DB33" w14:textId="5C20095B" w:rsidR="007A7735" w:rsidRPr="00BA3AB0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Corticosteroidi</w:t>
      </w:r>
      <w:proofErr w:type="spellEnd"/>
    </w:p>
    <w:p w14:paraId="185D14C9" w14:textId="5413D5AE" w:rsidR="007A7735" w:rsidRPr="00BA3AB0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Adrenalina</w:t>
      </w:r>
      <w:proofErr w:type="spellEnd"/>
    </w:p>
    <w:p w14:paraId="45F33404" w14:textId="4A3F0FE7" w:rsidR="007A7735" w:rsidRPr="00BA3AB0" w:rsidRDefault="00D064C0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</w:t>
      </w:r>
      <w:r w:rsidR="007A7735">
        <w:rPr>
          <w:lang w:val="en-US"/>
        </w:rPr>
        <w:t>oluzione</w:t>
      </w:r>
      <w:proofErr w:type="spellEnd"/>
      <w:r w:rsidR="007A7735">
        <w:rPr>
          <w:lang w:val="en-US"/>
        </w:rPr>
        <w:t xml:space="preserve"> </w:t>
      </w:r>
      <w:proofErr w:type="spellStart"/>
      <w:r w:rsidR="007A7735">
        <w:rPr>
          <w:lang w:val="en-US"/>
        </w:rPr>
        <w:t>salina</w:t>
      </w:r>
      <w:proofErr w:type="spellEnd"/>
      <w:r w:rsidR="007A7735">
        <w:rPr>
          <w:lang w:val="en-US"/>
        </w:rPr>
        <w:t xml:space="preserve"> </w:t>
      </w:r>
      <w:proofErr w:type="spellStart"/>
      <w:r w:rsidR="007A7735">
        <w:rPr>
          <w:lang w:val="en-US"/>
        </w:rPr>
        <w:t>ipertonica</w:t>
      </w:r>
      <w:proofErr w:type="spellEnd"/>
    </w:p>
    <w:p w14:paraId="1E1F64DB" w14:textId="17F94416" w:rsidR="007A7735" w:rsidRPr="00D76389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Ipratropio</w:t>
      </w:r>
      <w:proofErr w:type="spellEnd"/>
    </w:p>
    <w:p w14:paraId="356CF283" w14:textId="50B5CB98" w:rsidR="007A7735" w:rsidRPr="00D76389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Ringer </w:t>
      </w:r>
      <w:proofErr w:type="spellStart"/>
      <w:r>
        <w:rPr>
          <w:lang w:val="en-US"/>
        </w:rPr>
        <w:t>lattato</w:t>
      </w:r>
      <w:proofErr w:type="spellEnd"/>
    </w:p>
    <w:p w14:paraId="2FA053F9" w14:textId="69506A9F" w:rsidR="007A7735" w:rsidRPr="00D76389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Solfato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magnesio</w:t>
      </w:r>
      <w:proofErr w:type="spellEnd"/>
    </w:p>
    <w:p w14:paraId="34C23CC4" w14:textId="4D173EE3" w:rsidR="007A7735" w:rsidRPr="00D76389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Mannitolo</w:t>
      </w:r>
      <w:proofErr w:type="spellEnd"/>
    </w:p>
    <w:p w14:paraId="1AA205B8" w14:textId="0FD45E3D" w:rsidR="007A7735" w:rsidRPr="00D76389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Naloxone</w:t>
      </w:r>
    </w:p>
    <w:p w14:paraId="54C22781" w14:textId="6130007B" w:rsidR="007A7735" w:rsidRPr="00D76389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Soluzione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normale</w:t>
      </w:r>
      <w:proofErr w:type="spellEnd"/>
    </w:p>
    <w:p w14:paraId="37725A87" w14:textId="098F62FA" w:rsidR="007A7735" w:rsidRPr="00D76389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Adrenalina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racemica</w:t>
      </w:r>
      <w:proofErr w:type="spellEnd"/>
    </w:p>
    <w:p w14:paraId="3907BEA4" w14:textId="5CD4C0B3" w:rsidR="007A7735" w:rsidRPr="00D76389" w:rsidRDefault="007A7735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Terbutalina</w:t>
      </w:r>
      <w:proofErr w:type="spellEnd"/>
    </w:p>
    <w:p w14:paraId="79296BFF" w14:textId="7051EF06" w:rsidR="007A7735" w:rsidRPr="00D03FBB" w:rsidRDefault="00D064C0" w:rsidP="00011EA0">
      <w:pPr>
        <w:pStyle w:val="ListParagraph"/>
        <w:numPr>
          <w:ilvl w:val="0"/>
          <w:numId w:val="5"/>
        </w:numPr>
        <w:rPr>
          <w:lang w:val="it-IT"/>
        </w:rPr>
      </w:pPr>
      <w:r>
        <w:rPr>
          <w:lang w:val="it-IT"/>
        </w:rPr>
        <w:t>F</w:t>
      </w:r>
      <w:r w:rsidR="007A7735" w:rsidRPr="00D03FBB">
        <w:rPr>
          <w:lang w:val="it-IT"/>
        </w:rPr>
        <w:t>armaci per sequenza di intubazione rapida</w:t>
      </w:r>
    </w:p>
    <w:p w14:paraId="45210E59" w14:textId="124BBEC8" w:rsidR="007A7735" w:rsidRPr="00D76389" w:rsidRDefault="00D064C0" w:rsidP="00011EA0">
      <w:pPr>
        <w:pStyle w:val="ListParagraph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S</w:t>
      </w:r>
      <w:r w:rsidR="007A7735">
        <w:rPr>
          <w:lang w:val="en-US"/>
        </w:rPr>
        <w:t>edativi</w:t>
      </w:r>
      <w:proofErr w:type="spellEnd"/>
      <w:r w:rsidR="007A7735">
        <w:rPr>
          <w:lang w:val="en-US"/>
        </w:rPr>
        <w:t>/</w:t>
      </w:r>
      <w:proofErr w:type="spellStart"/>
      <w:r w:rsidR="007A7735">
        <w:rPr>
          <w:lang w:val="en-US"/>
        </w:rPr>
        <w:t>analgesici</w:t>
      </w:r>
      <w:proofErr w:type="spellEnd"/>
    </w:p>
    <w:p w14:paraId="203037C9" w14:textId="77777777" w:rsidR="00544A95" w:rsidRPr="00D76389" w:rsidRDefault="00544A95" w:rsidP="007A7735">
      <w:pPr>
        <w:rPr>
          <w:lang w:val="en-US"/>
        </w:rPr>
      </w:pPr>
    </w:p>
    <w:p w14:paraId="74D8F07C" w14:textId="7EE2AD09" w:rsidR="00011EA0" w:rsidRPr="00D76389" w:rsidRDefault="00011EA0" w:rsidP="007A7735">
      <w:pPr>
        <w:rPr>
          <w:lang w:val="en-US"/>
        </w:rPr>
      </w:pPr>
      <w:proofErr w:type="spellStart"/>
      <w:r>
        <w:rPr>
          <w:lang w:val="en-US"/>
        </w:rPr>
        <w:t>Attrezzature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scena</w:t>
      </w:r>
      <w:proofErr w:type="spellEnd"/>
    </w:p>
    <w:p w14:paraId="418EB66A" w14:textId="59151CD1" w:rsidR="003B5142" w:rsidRPr="00D76389" w:rsidRDefault="00D064C0" w:rsidP="00011EA0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C</w:t>
      </w:r>
      <w:r w:rsidR="003B5142">
        <w:rPr>
          <w:lang w:val="en-US"/>
        </w:rPr>
        <w:t>ulla</w:t>
      </w:r>
      <w:proofErr w:type="spellEnd"/>
    </w:p>
    <w:p w14:paraId="1AF8D39B" w14:textId="4E1387AF" w:rsidR="00011EA0" w:rsidRPr="00D03FBB" w:rsidRDefault="002A7031" w:rsidP="00011EA0">
      <w:pPr>
        <w:pStyle w:val="ListParagraph"/>
        <w:numPr>
          <w:ilvl w:val="0"/>
          <w:numId w:val="7"/>
        </w:numPr>
        <w:rPr>
          <w:lang w:val="it-IT"/>
        </w:rPr>
        <w:sectPr w:rsidR="00011EA0" w:rsidRPr="00D03FBB" w:rsidSect="00544A9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lang w:val="it-IT"/>
        </w:rPr>
        <w:t>V</w:t>
      </w:r>
      <w:r w:rsidR="00011EA0" w:rsidRPr="00D03FBB">
        <w:rPr>
          <w:lang w:val="it-IT"/>
        </w:rPr>
        <w:t>estiti e pannolino per bambino</w:t>
      </w:r>
    </w:p>
    <w:p w14:paraId="56DAA5A4" w14:textId="77777777" w:rsidR="00011EA0" w:rsidRPr="00011EA0" w:rsidRDefault="00011EA0" w:rsidP="00011EA0">
      <w:pPr>
        <w:pStyle w:val="Heading2"/>
        <w:rPr>
          <w:lang w:val="en-US"/>
        </w:rPr>
      </w:pPr>
      <w:r>
        <w:rPr>
          <w:lang w:val="en-US"/>
        </w:rPr>
        <w:t>Preparazione prima della simulazione</w:t>
      </w:r>
    </w:p>
    <w:p w14:paraId="1D117798" w14:textId="6FA32636" w:rsidR="00011EA0" w:rsidRPr="00D03FBB" w:rsidRDefault="000072E4" w:rsidP="00011EA0">
      <w:pPr>
        <w:pStyle w:val="ListParagraph"/>
        <w:numPr>
          <w:ilvl w:val="0"/>
          <w:numId w:val="4"/>
        </w:numPr>
        <w:rPr>
          <w:lang w:val="it-IT"/>
        </w:rPr>
      </w:pPr>
      <w:r>
        <w:rPr>
          <w:szCs w:val="22"/>
          <w:lang w:val="it-IT"/>
        </w:rPr>
        <w:t>Allestite</w:t>
      </w:r>
      <w:bookmarkStart w:id="0" w:name="_GoBack"/>
      <w:bookmarkEnd w:id="0"/>
      <w:r w:rsidR="00011EA0" w:rsidRPr="00D03FBB">
        <w:rPr>
          <w:szCs w:val="22"/>
          <w:lang w:val="it-IT"/>
        </w:rPr>
        <w:t xml:space="preserve"> la stanza perché appaia come un normale pronto soccorso, con tutte le apparecchiature pronte e un monitor paziente collegato a LLEAP o</w:t>
      </w:r>
      <w:r w:rsidR="001E26B7">
        <w:rPr>
          <w:szCs w:val="22"/>
          <w:lang w:val="it-IT"/>
        </w:rPr>
        <w:t xml:space="preserve"> a</w:t>
      </w:r>
      <w:r w:rsidR="00011EA0" w:rsidRPr="00D03FBB">
        <w:rPr>
          <w:szCs w:val="22"/>
          <w:lang w:val="it-IT"/>
        </w:rPr>
        <w:t xml:space="preserve"> </w:t>
      </w:r>
      <w:proofErr w:type="spellStart"/>
      <w:r w:rsidR="00011EA0" w:rsidRPr="00D03FBB">
        <w:rPr>
          <w:szCs w:val="22"/>
          <w:lang w:val="it-IT"/>
        </w:rPr>
        <w:t>SimPad</w:t>
      </w:r>
      <w:proofErr w:type="spellEnd"/>
    </w:p>
    <w:p w14:paraId="4225D517" w14:textId="40CB1CF1" w:rsidR="00011EA0" w:rsidRPr="00D03FBB" w:rsidRDefault="00011EA0" w:rsidP="00011EA0">
      <w:pPr>
        <w:pStyle w:val="ListParagraph"/>
        <w:numPr>
          <w:ilvl w:val="0"/>
          <w:numId w:val="4"/>
        </w:numPr>
        <w:rPr>
          <w:szCs w:val="22"/>
          <w:lang w:val="it-IT"/>
        </w:rPr>
      </w:pPr>
      <w:r w:rsidRPr="00D03FBB">
        <w:rPr>
          <w:szCs w:val="22"/>
          <w:lang w:val="it-IT"/>
        </w:rPr>
        <w:t xml:space="preserve"> Vestite il simulatore con indumenti e un pannolino asciutto, quindi porta</w:t>
      </w:r>
      <w:r w:rsidR="005F4552">
        <w:rPr>
          <w:szCs w:val="22"/>
          <w:lang w:val="it-IT"/>
        </w:rPr>
        <w:t>tel</w:t>
      </w:r>
      <w:r w:rsidRPr="00D03FBB">
        <w:rPr>
          <w:szCs w:val="22"/>
          <w:lang w:val="it-IT"/>
        </w:rPr>
        <w:t>o tra le braccia del genitore.</w:t>
      </w:r>
    </w:p>
    <w:p w14:paraId="406CA926" w14:textId="77777777" w:rsidR="00544A95" w:rsidRPr="00D03FBB" w:rsidRDefault="00544A95" w:rsidP="00544A95">
      <w:pPr>
        <w:pStyle w:val="Heading2"/>
        <w:rPr>
          <w:lang w:val="it-IT"/>
        </w:rPr>
      </w:pPr>
      <w:r w:rsidRPr="00D03FBB">
        <w:rPr>
          <w:lang w:val="it-IT"/>
        </w:rPr>
        <w:t>Riepilogo per l'allievo</w:t>
      </w:r>
    </w:p>
    <w:p w14:paraId="23A1EFD2" w14:textId="77777777" w:rsidR="00776335" w:rsidRPr="00D03FBB" w:rsidRDefault="00776335" w:rsidP="00776335">
      <w:pPr>
        <w:rPr>
          <w:i/>
          <w:szCs w:val="22"/>
          <w:lang w:val="it-IT"/>
        </w:rPr>
      </w:pPr>
      <w:r w:rsidRPr="00D03FBB">
        <w:rPr>
          <w:i/>
          <w:szCs w:val="22"/>
          <w:lang w:val="it-IT"/>
        </w:rPr>
        <w:t>Leggere il riepilogo per l'allievo a voce alta prima di iniziare la simulazione.</w:t>
      </w:r>
    </w:p>
    <w:p w14:paraId="167A1D0A" w14:textId="77777777" w:rsidR="00776335" w:rsidRPr="00D03FBB" w:rsidRDefault="00776335" w:rsidP="00776335">
      <w:pPr>
        <w:rPr>
          <w:lang w:val="it-IT"/>
        </w:rPr>
      </w:pPr>
      <w:r w:rsidRPr="00D03FBB">
        <w:rPr>
          <w:lang w:val="it-IT"/>
        </w:rPr>
        <w:t xml:space="preserve">Pronto soccorso, 02:15 </w:t>
      </w:r>
    </w:p>
    <w:p w14:paraId="65B8C2A0" w14:textId="401D91AC" w:rsidR="00544A95" w:rsidRPr="00D03FBB" w:rsidRDefault="00544A95" w:rsidP="00544A95">
      <w:pPr>
        <w:rPr>
          <w:lang w:val="it-IT"/>
        </w:rPr>
      </w:pPr>
      <w:r w:rsidRPr="00D03FBB">
        <w:rPr>
          <w:lang w:val="it-IT"/>
        </w:rPr>
        <w:lastRenderedPageBreak/>
        <w:t xml:space="preserve">Un bambino di 12 mesi è stato portato al pronto soccorso da suo padre dopo aver sviluppato febbre con insorgenza di una crescente tosse </w:t>
      </w:r>
      <w:r w:rsidR="001E26B7">
        <w:rPr>
          <w:lang w:val="it-IT"/>
        </w:rPr>
        <w:t>stizzosa</w:t>
      </w:r>
      <w:r w:rsidRPr="00D03FBB">
        <w:rPr>
          <w:lang w:val="it-IT"/>
        </w:rPr>
        <w:t xml:space="preserve"> e raucedine durante la serata. Ha sviluppato un raffreddore con una leggera febbre e naso che cola. La sorella maggiore di 6 anni è a casa con l’influenza, ma i genitori si sono preoccupati quando il bambino ha iniziato </w:t>
      </w:r>
      <w:r w:rsidR="001E26B7">
        <w:rPr>
          <w:lang w:val="it-IT"/>
        </w:rPr>
        <w:t xml:space="preserve">ad emettere </w:t>
      </w:r>
      <w:r w:rsidRPr="00D03FBB">
        <w:rPr>
          <w:lang w:val="it-IT"/>
        </w:rPr>
        <w:t xml:space="preserve"> un</w:t>
      </w:r>
      <w:r w:rsidR="001E26B7">
        <w:rPr>
          <w:lang w:val="it-IT"/>
        </w:rPr>
        <w:t xml:space="preserve"> notevole</w:t>
      </w:r>
      <w:r w:rsidRPr="00D03FBB">
        <w:rPr>
          <w:lang w:val="it-IT"/>
        </w:rPr>
        <w:t xml:space="preserve"> rumore durante la respirazione, con un peggioramento della condizione. A casa, la sua temperatura era di circa 38 </w:t>
      </w:r>
      <w:proofErr w:type="spellStart"/>
      <w:r w:rsidR="00B34DDD" w:rsidRPr="00D03FBB">
        <w:rPr>
          <w:vertAlign w:val="superscript"/>
          <w:lang w:val="it-IT"/>
        </w:rPr>
        <w:t>o</w:t>
      </w:r>
      <w:r w:rsidRPr="00D03FBB">
        <w:rPr>
          <w:lang w:val="it-IT"/>
        </w:rPr>
        <w:t>C</w:t>
      </w:r>
      <w:proofErr w:type="spellEnd"/>
      <w:r w:rsidRPr="00D03FBB">
        <w:rPr>
          <w:lang w:val="it-IT"/>
        </w:rPr>
        <w:t>. Andate a visitare il paziente.</w:t>
      </w:r>
    </w:p>
    <w:p w14:paraId="7C0F6497" w14:textId="1E5AD09F" w:rsidR="00D61F8D" w:rsidRPr="00D03FBB" w:rsidRDefault="00F177D9" w:rsidP="00544A95">
      <w:pPr>
        <w:rPr>
          <w:lang w:val="it-IT"/>
        </w:rPr>
      </w:pPr>
      <w:r w:rsidRPr="00D03FBB">
        <w:rPr>
          <w:rFonts w:eastAsiaTheme="minorHAnsi"/>
          <w:lang w:val="it-IT"/>
        </w:rPr>
        <w:t>Prima di iniziare la simulazione, orientatevi nella sala e considerate le apparecchiature disponibili.</w:t>
      </w:r>
    </w:p>
    <w:p w14:paraId="7592E758" w14:textId="77777777" w:rsidR="00D61F8D" w:rsidRPr="00D03FBB" w:rsidRDefault="00D61F8D" w:rsidP="00D61F8D">
      <w:pPr>
        <w:pStyle w:val="Heading1"/>
        <w:rPr>
          <w:lang w:val="it-IT"/>
        </w:rPr>
      </w:pPr>
      <w:r w:rsidRPr="00D03FBB">
        <w:rPr>
          <w:lang w:val="it-IT"/>
        </w:rPr>
        <w:t>Personalizzazione dello scenario</w:t>
      </w:r>
    </w:p>
    <w:p w14:paraId="1FC209CA" w14:textId="3FF53D27" w:rsidR="00D61F8D" w:rsidRPr="00D03FBB" w:rsidRDefault="00D61F8D" w:rsidP="00D61F8D">
      <w:pPr>
        <w:rPr>
          <w:lang w:val="it-IT"/>
        </w:rPr>
      </w:pPr>
      <w:r w:rsidRPr="00D03FBB">
        <w:rPr>
          <w:lang w:val="it-IT"/>
        </w:rPr>
        <w:t xml:space="preserve">Lo scenario può costituire la base per la creazione di nuovi scenari con diversi o ulteriori obiettivi di apprendimento. Prima di apportare modifiche a uno scenario esistente, è necessario esaminare attentamente quali capacità di intervento ci si aspetta che gli allievi dimostrino e come occorre modificare gli obiettivi di apprendimento, </w:t>
      </w:r>
      <w:r w:rsidR="00BD6196">
        <w:rPr>
          <w:lang w:val="it-IT"/>
        </w:rPr>
        <w:t xml:space="preserve">il progresso </w:t>
      </w:r>
      <w:r w:rsidRPr="00D03FBB">
        <w:rPr>
          <w:lang w:val="it-IT"/>
        </w:rPr>
        <w:t>dello scenario, la programmazione e il materiale di supporto. È tuttavia un modo rapido per espandere la gamma di scenari, perché consente di riutilizzare gran parte delle informazioni sul paziente e diversi elementi nella programmazione dello scenario e del materiale di supporto.</w:t>
      </w:r>
    </w:p>
    <w:p w14:paraId="71FE56BB" w14:textId="25E7602B" w:rsidR="00D61F8D" w:rsidRPr="00D03FBB" w:rsidRDefault="00D61F8D" w:rsidP="00D61F8D">
      <w:pPr>
        <w:rPr>
          <w:lang w:val="it-IT"/>
        </w:rPr>
      </w:pPr>
      <w:r w:rsidRPr="00D03FBB">
        <w:rPr>
          <w:lang w:val="it-IT"/>
        </w:rPr>
        <w:t>Di seguito sono offerti alcuni suggerimenti su possibili personalizzazioni dello scenario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61F8D" w:rsidRPr="00167E46" w14:paraId="43CA13F5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455247A8" w14:textId="7DEAB7CB" w:rsidR="00D61F8D" w:rsidRPr="00167E46" w:rsidRDefault="002447C7" w:rsidP="001E1C9C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D61F8D">
              <w:rPr>
                <w:b/>
              </w:rPr>
              <w:t>uovi</w:t>
            </w:r>
            <w:proofErr w:type="spellEnd"/>
            <w:r w:rsidR="00D61F8D">
              <w:rPr>
                <w:b/>
              </w:rPr>
              <w:t xml:space="preserve"> </w:t>
            </w:r>
            <w:proofErr w:type="spellStart"/>
            <w:r w:rsidR="00D61F8D">
              <w:rPr>
                <w:b/>
              </w:rPr>
              <w:t>obiettivi</w:t>
            </w:r>
            <w:proofErr w:type="spellEnd"/>
            <w:r w:rsidR="00D61F8D">
              <w:rPr>
                <w:b/>
              </w:rPr>
              <w:t xml:space="preserve"> di </w:t>
            </w:r>
            <w:proofErr w:type="spellStart"/>
            <w:r w:rsidR="00D61F8D">
              <w:rPr>
                <w:b/>
              </w:rPr>
              <w:t>apprendimento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093DE76" w14:textId="199CFCDB" w:rsidR="00D61F8D" w:rsidRPr="00D03FBB" w:rsidRDefault="002447C7" w:rsidP="001E1C9C">
            <w:pPr>
              <w:spacing w:before="0"/>
              <w:rPr>
                <w:b/>
                <w:lang w:val="it-IT"/>
              </w:rPr>
            </w:pPr>
            <w:r>
              <w:rPr>
                <w:b/>
                <w:lang w:val="it-IT"/>
              </w:rPr>
              <w:t>M</w:t>
            </w:r>
            <w:r w:rsidR="00D61F8D" w:rsidRPr="00D03FBB">
              <w:rPr>
                <w:b/>
                <w:lang w:val="it-IT"/>
              </w:rPr>
              <w:t>odifiche da apportare allo scenario</w:t>
            </w:r>
          </w:p>
        </w:tc>
      </w:tr>
      <w:tr w:rsidR="00D61F8D" w:rsidRPr="00E3416B" w14:paraId="011880F7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3A6C7599" w14:textId="77777777" w:rsidR="00D61F8D" w:rsidRPr="00D03FBB" w:rsidRDefault="00D61F8D" w:rsidP="001E1C9C">
            <w:pPr>
              <w:spacing w:before="0"/>
              <w:rPr>
                <w:lang w:val="it-IT"/>
              </w:rPr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6DE83A7B" w14:textId="77777777" w:rsidR="00D61F8D" w:rsidRPr="00D03FBB" w:rsidRDefault="00D61F8D" w:rsidP="001E1C9C">
            <w:pPr>
              <w:spacing w:before="0" w:after="120"/>
              <w:rPr>
                <w:lang w:val="it-IT"/>
              </w:rPr>
            </w:pPr>
          </w:p>
        </w:tc>
      </w:tr>
      <w:tr w:rsidR="00D61F8D" w:rsidRPr="00AD5232" w14:paraId="62BE73BC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4183602" w14:textId="77777777" w:rsidR="00D61F8D" w:rsidRPr="00D03FBB" w:rsidRDefault="00D61F8D" w:rsidP="001E1C9C">
            <w:pPr>
              <w:spacing w:before="0"/>
              <w:rPr>
                <w:lang w:val="it-IT"/>
              </w:rPr>
            </w:pPr>
            <w:r w:rsidRPr="00D03FBB">
              <w:rPr>
                <w:lang w:val="it-IT"/>
              </w:rPr>
              <w:t xml:space="preserve">Includere obiettivi di apprendimento sul training del team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4FDCBFFF" w14:textId="377EB52F" w:rsidR="00D61F8D" w:rsidRPr="00D03FBB" w:rsidRDefault="00D61F8D" w:rsidP="001E1C9C">
            <w:pPr>
              <w:spacing w:before="0" w:after="120"/>
              <w:rPr>
                <w:lang w:val="it-IT"/>
              </w:rPr>
            </w:pPr>
            <w:r w:rsidRPr="00D03FBB">
              <w:rPr>
                <w:lang w:val="it-IT"/>
              </w:rPr>
              <w:t>Questo scenario p</w:t>
            </w:r>
            <w:r w:rsidR="002447C7">
              <w:rPr>
                <w:lang w:val="it-IT"/>
              </w:rPr>
              <w:t>uò,</w:t>
            </w:r>
            <w:r w:rsidRPr="00D03FBB">
              <w:rPr>
                <w:lang w:val="it-IT"/>
              </w:rPr>
              <w:t xml:space="preserve"> inoltre</w:t>
            </w:r>
            <w:r w:rsidR="002447C7">
              <w:rPr>
                <w:lang w:val="it-IT"/>
              </w:rPr>
              <w:t>,</w:t>
            </w:r>
            <w:r w:rsidRPr="00D03FBB">
              <w:rPr>
                <w:lang w:val="it-IT"/>
              </w:rPr>
              <w:t xml:space="preserve"> concentrarsi sulla dinamica e la comunicazione del team. Ricordatevi di </w:t>
            </w:r>
            <w:r w:rsidR="002447C7">
              <w:rPr>
                <w:lang w:val="it-IT"/>
              </w:rPr>
              <w:t>includere</w:t>
            </w:r>
            <w:r w:rsidRPr="00D03FBB">
              <w:rPr>
                <w:lang w:val="it-IT"/>
              </w:rPr>
              <w:t xml:space="preserve"> eventi</w:t>
            </w:r>
            <w:r w:rsidR="002447C7">
              <w:rPr>
                <w:lang w:val="it-IT"/>
              </w:rPr>
              <w:t xml:space="preserve"> e aggiungerli</w:t>
            </w:r>
            <w:r w:rsidRPr="00D03FBB">
              <w:rPr>
                <w:lang w:val="it-IT"/>
              </w:rPr>
              <w:t xml:space="preserve"> alla programmazione per la registrazione delle azioni relative al team.</w:t>
            </w:r>
          </w:p>
        </w:tc>
      </w:tr>
      <w:tr w:rsidR="00D61F8D" w:rsidRPr="00AD5232" w14:paraId="76591AA3" w14:textId="77777777" w:rsidTr="001E1C9C">
        <w:tc>
          <w:tcPr>
            <w:tcW w:w="2547" w:type="dxa"/>
            <w:tcBorders>
              <w:left w:val="nil"/>
              <w:right w:val="nil"/>
            </w:tcBorders>
          </w:tcPr>
          <w:p w14:paraId="3F6AF094" w14:textId="5BCD65A1" w:rsidR="00D61F8D" w:rsidRPr="00D03FBB" w:rsidRDefault="00D61F8D" w:rsidP="001E1C9C">
            <w:pPr>
              <w:spacing w:before="0"/>
              <w:rPr>
                <w:lang w:val="it-IT"/>
              </w:rPr>
            </w:pPr>
            <w:r w:rsidRPr="00D03FBB">
              <w:rPr>
                <w:lang w:val="it-IT"/>
              </w:rPr>
              <w:t>Include</w:t>
            </w:r>
            <w:r w:rsidR="00535809">
              <w:rPr>
                <w:lang w:val="it-IT"/>
              </w:rPr>
              <w:t>r</w:t>
            </w:r>
            <w:r w:rsidRPr="00D03FBB">
              <w:rPr>
                <w:lang w:val="it-IT"/>
              </w:rPr>
              <w:t>e obiettivi di apprendimento sul trattamento dell'ipossiemia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049C2C38" w14:textId="0D844212" w:rsidR="00D61F8D" w:rsidRPr="00D03FBB" w:rsidRDefault="008B778B" w:rsidP="001E1C9C">
            <w:pPr>
              <w:spacing w:before="0" w:after="120"/>
              <w:rPr>
                <w:lang w:val="it-IT"/>
              </w:rPr>
            </w:pPr>
            <w:r w:rsidRPr="00D03FBB">
              <w:rPr>
                <w:lang w:val="it-IT"/>
              </w:rPr>
              <w:t xml:space="preserve">Lo scenario può essere trasformato in un caso grave di </w:t>
            </w:r>
            <w:proofErr w:type="spellStart"/>
            <w:r w:rsidRPr="00D03FBB">
              <w:rPr>
                <w:lang w:val="it-IT"/>
              </w:rPr>
              <w:t>laringotracheobronchite</w:t>
            </w:r>
            <w:proofErr w:type="spellEnd"/>
            <w:r w:rsidRPr="00D03FBB">
              <w:rPr>
                <w:lang w:val="it-IT"/>
              </w:rPr>
              <w:t xml:space="preserve"> virale che conduce a ipossiemia e imminente arresto respiratorio, se non viene eseguito un tempestivo trattamento. Ricordatevi di modificare la programmazione e</w:t>
            </w:r>
            <w:r w:rsidR="008F5134">
              <w:rPr>
                <w:lang w:val="it-IT"/>
              </w:rPr>
              <w:t xml:space="preserve"> il progresso</w:t>
            </w:r>
            <w:r w:rsidRPr="00D03FBB">
              <w:rPr>
                <w:lang w:val="it-IT"/>
              </w:rPr>
              <w:t xml:space="preserve">  dello scenario in modo che corrisponda al nuovo scenario.</w:t>
            </w:r>
          </w:p>
        </w:tc>
      </w:tr>
      <w:tr w:rsidR="00D61F8D" w:rsidRPr="00AD5232" w14:paraId="17A01107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535FC531" w14:textId="06BEAF99" w:rsidR="00D61F8D" w:rsidRPr="00D03FBB" w:rsidRDefault="00D61F8D" w:rsidP="001E1C9C">
            <w:pPr>
              <w:spacing w:before="0"/>
              <w:rPr>
                <w:lang w:val="it-IT"/>
              </w:rPr>
            </w:pPr>
            <w:r w:rsidRPr="00D03FBB">
              <w:rPr>
                <w:lang w:val="it-IT"/>
              </w:rPr>
              <w:t>Include</w:t>
            </w:r>
            <w:r w:rsidR="00535809">
              <w:rPr>
                <w:lang w:val="it-IT"/>
              </w:rPr>
              <w:t>r</w:t>
            </w:r>
            <w:r w:rsidRPr="00D03FBB">
              <w:rPr>
                <w:lang w:val="it-IT"/>
              </w:rPr>
              <w:t>e obiettivi di apprendimento sull'utilizzo dei dispositivi per le vie aeree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1C1CCAE2" w14:textId="473A1FE1" w:rsidR="00D61F8D" w:rsidRPr="00D03FBB" w:rsidRDefault="00302CF9" w:rsidP="001E1C9C">
            <w:pPr>
              <w:spacing w:before="0" w:after="120"/>
              <w:rPr>
                <w:lang w:val="it-IT"/>
              </w:rPr>
            </w:pPr>
            <w:r w:rsidRPr="00D03FBB">
              <w:rPr>
                <w:lang w:val="it-IT"/>
              </w:rPr>
              <w:t xml:space="preserve">Potrete eseguire il training sulla scelta dei dispositivi per il supporto delle vie aeree, riducendo il livello di coscienza e la saturazione di ossigeno del bambino, per indicare la necessità di inserimento di dispositivi per vie aeree avanzate. Ricordatevi di modificare la programmazione </w:t>
            </w:r>
            <w:r w:rsidRPr="008F5134">
              <w:rPr>
                <w:lang w:val="it-IT"/>
              </w:rPr>
              <w:t>e</w:t>
            </w:r>
            <w:r w:rsidR="008F5134" w:rsidRPr="002447C7">
              <w:rPr>
                <w:lang w:val="it-IT"/>
              </w:rPr>
              <w:t xml:space="preserve"> il progresso</w:t>
            </w:r>
            <w:r w:rsidRPr="00D03FBB">
              <w:rPr>
                <w:lang w:val="it-IT"/>
              </w:rPr>
              <w:t xml:space="preserve"> dello scenario, in modo che corrisponda al nuovo scenario.</w:t>
            </w:r>
          </w:p>
        </w:tc>
      </w:tr>
    </w:tbl>
    <w:p w14:paraId="72B9F39C" w14:textId="77777777" w:rsidR="00544A95" w:rsidRPr="00D03FBB" w:rsidRDefault="00544A95" w:rsidP="007A7735">
      <w:pPr>
        <w:rPr>
          <w:lang w:val="it-IT"/>
        </w:rPr>
      </w:pPr>
    </w:p>
    <w:sectPr w:rsidR="00544A95" w:rsidRPr="00D03FBB" w:rsidSect="00544A9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782"/>
    <w:multiLevelType w:val="hybridMultilevel"/>
    <w:tmpl w:val="07DA7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32"/>
    <w:multiLevelType w:val="hybridMultilevel"/>
    <w:tmpl w:val="6E4CD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E8D"/>
    <w:multiLevelType w:val="hybridMultilevel"/>
    <w:tmpl w:val="90FEDEAE"/>
    <w:lvl w:ilvl="0" w:tplc="231EA0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BB9"/>
    <w:multiLevelType w:val="hybridMultilevel"/>
    <w:tmpl w:val="C6788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EB6"/>
    <w:multiLevelType w:val="hybridMultilevel"/>
    <w:tmpl w:val="C8108912"/>
    <w:lvl w:ilvl="0" w:tplc="E1B67F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76B86"/>
    <w:multiLevelType w:val="hybridMultilevel"/>
    <w:tmpl w:val="93D27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988"/>
    <w:multiLevelType w:val="hybridMultilevel"/>
    <w:tmpl w:val="EBCC866C"/>
    <w:lvl w:ilvl="0" w:tplc="691835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A4EDF"/>
    <w:multiLevelType w:val="hybridMultilevel"/>
    <w:tmpl w:val="31002D2A"/>
    <w:lvl w:ilvl="0" w:tplc="117E7F52">
      <w:numFmt w:val="bullet"/>
      <w:lvlText w:val="•"/>
      <w:lvlJc w:val="left"/>
      <w:pPr>
        <w:ind w:left="1080" w:hanging="360"/>
      </w:pPr>
      <w:rPr>
        <w:rFonts w:hint="default"/>
        <w:w w:val="11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BCC"/>
    <w:rsid w:val="000072E4"/>
    <w:rsid w:val="00011EA0"/>
    <w:rsid w:val="00067FD3"/>
    <w:rsid w:val="000B4EDB"/>
    <w:rsid w:val="000B6EC1"/>
    <w:rsid w:val="000C6AA1"/>
    <w:rsid w:val="00125D67"/>
    <w:rsid w:val="00190CDF"/>
    <w:rsid w:val="001B520A"/>
    <w:rsid w:val="001E1FDF"/>
    <w:rsid w:val="001E26B7"/>
    <w:rsid w:val="002447C7"/>
    <w:rsid w:val="00271EA3"/>
    <w:rsid w:val="0028728B"/>
    <w:rsid w:val="002A7031"/>
    <w:rsid w:val="002E46AB"/>
    <w:rsid w:val="002F7A65"/>
    <w:rsid w:val="00301D6C"/>
    <w:rsid w:val="00302CF9"/>
    <w:rsid w:val="00357E12"/>
    <w:rsid w:val="003722E8"/>
    <w:rsid w:val="00373524"/>
    <w:rsid w:val="00376F92"/>
    <w:rsid w:val="003A7B4D"/>
    <w:rsid w:val="003B1030"/>
    <w:rsid w:val="003B5142"/>
    <w:rsid w:val="0046593A"/>
    <w:rsid w:val="00486A56"/>
    <w:rsid w:val="00535809"/>
    <w:rsid w:val="00544A95"/>
    <w:rsid w:val="00556679"/>
    <w:rsid w:val="00596C58"/>
    <w:rsid w:val="005F4552"/>
    <w:rsid w:val="005F6D93"/>
    <w:rsid w:val="00604B28"/>
    <w:rsid w:val="00607B26"/>
    <w:rsid w:val="006356A1"/>
    <w:rsid w:val="00653009"/>
    <w:rsid w:val="00657D4F"/>
    <w:rsid w:val="006B5869"/>
    <w:rsid w:val="006E1D88"/>
    <w:rsid w:val="006E62A8"/>
    <w:rsid w:val="006F74F7"/>
    <w:rsid w:val="0077045F"/>
    <w:rsid w:val="00776335"/>
    <w:rsid w:val="007A23F3"/>
    <w:rsid w:val="007A7735"/>
    <w:rsid w:val="007B7509"/>
    <w:rsid w:val="007D46B2"/>
    <w:rsid w:val="007D7E80"/>
    <w:rsid w:val="00806CA2"/>
    <w:rsid w:val="00826E6D"/>
    <w:rsid w:val="00834395"/>
    <w:rsid w:val="00850B9B"/>
    <w:rsid w:val="00892FE8"/>
    <w:rsid w:val="008B37BA"/>
    <w:rsid w:val="008B778B"/>
    <w:rsid w:val="008E3081"/>
    <w:rsid w:val="008F5134"/>
    <w:rsid w:val="00903E7A"/>
    <w:rsid w:val="00906ED3"/>
    <w:rsid w:val="00911335"/>
    <w:rsid w:val="009229CA"/>
    <w:rsid w:val="009371D3"/>
    <w:rsid w:val="009548D7"/>
    <w:rsid w:val="00971CCA"/>
    <w:rsid w:val="00996608"/>
    <w:rsid w:val="009A12AF"/>
    <w:rsid w:val="009D035E"/>
    <w:rsid w:val="009E3E9E"/>
    <w:rsid w:val="00A31435"/>
    <w:rsid w:val="00A82757"/>
    <w:rsid w:val="00AC7954"/>
    <w:rsid w:val="00AD5232"/>
    <w:rsid w:val="00B34DDD"/>
    <w:rsid w:val="00BA3AB0"/>
    <w:rsid w:val="00BC2EB7"/>
    <w:rsid w:val="00BD08AC"/>
    <w:rsid w:val="00BD6196"/>
    <w:rsid w:val="00BE0781"/>
    <w:rsid w:val="00BE2C06"/>
    <w:rsid w:val="00C16A9E"/>
    <w:rsid w:val="00C30135"/>
    <w:rsid w:val="00C36DEC"/>
    <w:rsid w:val="00C7444D"/>
    <w:rsid w:val="00CB4257"/>
    <w:rsid w:val="00CD6A6B"/>
    <w:rsid w:val="00D03FBB"/>
    <w:rsid w:val="00D064C0"/>
    <w:rsid w:val="00D14FD2"/>
    <w:rsid w:val="00D255C0"/>
    <w:rsid w:val="00D30937"/>
    <w:rsid w:val="00D41455"/>
    <w:rsid w:val="00D51747"/>
    <w:rsid w:val="00D61F8D"/>
    <w:rsid w:val="00D76389"/>
    <w:rsid w:val="00DA7BCC"/>
    <w:rsid w:val="00DC19C5"/>
    <w:rsid w:val="00DF459D"/>
    <w:rsid w:val="00E27D12"/>
    <w:rsid w:val="00F177D9"/>
    <w:rsid w:val="00F724BF"/>
    <w:rsid w:val="00F93E0A"/>
    <w:rsid w:val="00FB00FE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D55"/>
  <w15:docId w15:val="{37B9631E-DA82-4148-AA46-99846184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95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A9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4A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A95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A95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A95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A95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A95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A95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A9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A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4A95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4A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44A9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44A95"/>
    <w:rPr>
      <w:color w:val="1F4D78" w:themeColor="accent1" w:themeShade="7F"/>
      <w:spacing w:val="15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44A9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A9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A9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4A95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A9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44A9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44A95"/>
    <w:rPr>
      <w:b/>
      <w:bCs/>
    </w:rPr>
  </w:style>
  <w:style w:type="character" w:styleId="Emphasis">
    <w:name w:val="Emphasis"/>
    <w:uiPriority w:val="20"/>
    <w:qFormat/>
    <w:rsid w:val="00544A9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44A95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44A9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4A9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A95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A9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44A9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44A9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44A9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44A9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44A9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A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A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A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F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4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7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E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E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E12"/>
    <w:rPr>
      <w:b/>
      <w:bCs/>
    </w:rPr>
  </w:style>
  <w:style w:type="paragraph" w:styleId="Revision">
    <w:name w:val="Revision"/>
    <w:hidden/>
    <w:uiPriority w:val="99"/>
    <w:semiHidden/>
    <w:rsid w:val="00D03FBB"/>
    <w:pPr>
      <w:spacing w:before="0" w:after="0" w:line="240" w:lineRule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Juri Bendini</cp:lastModifiedBy>
  <cp:revision>11</cp:revision>
  <dcterms:created xsi:type="dcterms:W3CDTF">2019-01-30T23:32:00Z</dcterms:created>
  <dcterms:modified xsi:type="dcterms:W3CDTF">2019-02-12T07:50:00Z</dcterms:modified>
</cp:coreProperties>
</file>